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70" w:rsidRPr="00333B70" w:rsidRDefault="00333B70" w:rsidP="00333B7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33B70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Характеристики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231"/>
        <w:gridCol w:w="80"/>
        <w:gridCol w:w="2231"/>
        <w:gridCol w:w="2231"/>
      </w:tblGrid>
      <w:tr w:rsidR="00333B70" w:rsidRPr="00333B70" w:rsidTr="00333B70">
        <w:trPr>
          <w:tblHeader/>
        </w:trPr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Ручное использование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Artsen Pro 500 D / P / Q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Artsen Pro 400 D / P / Q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Artsen Pro 350 D / P / Q</w:t>
            </w:r>
          </w:p>
        </w:tc>
      </w:tr>
      <w:tr w:rsidR="00333B70" w:rsidRPr="00333B70" w:rsidTr="00333B70">
        <w:trPr>
          <w:tblHeader/>
        </w:trPr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Роботизированное использование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Artsen Pro 500 D / P / Q R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Artsen Pro 400 D / P / Q R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Artsen Pro 350 D / P / Q R</w:t>
            </w:r>
          </w:p>
        </w:tc>
      </w:tr>
      <w:tr w:rsidR="00333B70" w:rsidRPr="00333B70" w:rsidTr="00333B70">
        <w:tc>
          <w:tcPr>
            <w:tcW w:w="125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Режим управления</w:t>
            </w:r>
          </w:p>
        </w:tc>
        <w:tc>
          <w:tcPr>
            <w:tcW w:w="1250" w:type="pct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полностью цифровое</w:t>
            </w:r>
          </w:p>
        </w:tc>
        <w:tc>
          <w:tcPr>
            <w:tcW w:w="125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полностью цифровое</w:t>
            </w:r>
          </w:p>
        </w:tc>
        <w:tc>
          <w:tcPr>
            <w:tcW w:w="125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полностью цифровое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Питающая сеть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3PH 380В +/- 25% (3PH 285В ~ 3PH 475В)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3PH 380В +/- 25% (3PH 285В ~ 3PH 475В)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AC 3PH 380 В +/- 25% (3PH 285V ~ 3PH 475В) AC 3PH 220 В +/- 15% (3PH 187V ~ 3PH 254В)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Частота сети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45 ~ 65 Гц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45 ~ 65 Гц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45 ~ 65 Гц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22,3 </w:t>
            </w:r>
            <w:proofErr w:type="spellStart"/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16,8 </w:t>
            </w:r>
            <w:proofErr w:type="spellStart"/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0,93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0,87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Номинальное напряжение холостого хода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85 В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85 В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85 В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Номинальный выходной ток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30 ~ 500 А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30 ~ 400 А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30 ~ 350 А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>Номинальное выходное напряжение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 ~ 45 В (точность при 0,1 В)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 ~ 45 В (точность при 0,1 В)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 ~ 45 В (точность при 0,1 В)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Номинальный рабочий цикл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500A / 39V 60% при 40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, 387A / 33.5V 100% при 40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400A / 34V 100% при 40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350A / 33.5V 60% при 40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, 270A / 27.5V 100% при 40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Применимый материал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D: углеродистая сталь / нержавеющая сталь, P: углеродистая сталь / нержавеющая сталь, Q: углеродистая сталь / нержавеющая сталь / алюминиевый сплав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D: углеродистая сталь / нержавеющая сталь, P: углеродистая сталь / нержавеющая сталь, Q: углеродистая сталь / нержавеющая сталь / алюминиевый сплав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D: углеродистая сталь / нержавеющая сталь, P: углеродистая сталь / нержавеющая сталь, Q: углеродистая сталь / нержавеющая сталь / алюминиевый сплав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Способы сварки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D: MIG / MAG / CO2, Низкое разбрызгивание, P: MIG / MAG / CO2, Низкое разбрызгивание коротко-дугового импульса, Q: MIG / MAG / CO2, Низкое 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>разбрызгивание коротко-дугового импульса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 xml:space="preserve">D: MIG / MAG / CO2, Низкое разбрызгивание, P: MIG / MAG / CO2, Низкое разбрызгивание коротко-дугового импульса, Q: MIG / MAG / CO2, Низкое 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>разбрызгивание коротко-дугового импульса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 xml:space="preserve">D: MIG / MAG / CO2, Низкое разбрызгивание, P: MIG / MAG / CO2, Низкое разбрызгивание коротко-дугового импульса, Q: MIG / MAG / CO2, Низкое 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>разбрызгивание коротко-дугового импульса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>Диаметр проволоки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0,8 / 0,9 / 1,0 / 1,2 / 1,6 мм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0,8 / 0,9 / 1,0 / 1,2 / 1,6 мм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0,8 / 0,9 / 1,0 / 1,2 / 1,6 мм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Сварочные режимы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2-такта / 4-такта / 4-такта спец. / сварка точками / сварка прерывистым швом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2-такта / 4-такта / 4-такта спец. / сварка точками / сварка прерывистым швом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2-такта / 4-такта / 4-такта спец. / сварка точками / сварка прерывистым швом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Динамика дуги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-7 ~ +7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-7 ~ +7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-7 ~ +7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Push-pull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Опция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Опция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Опция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Интерфейс для связи с роботом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Аналоговый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val="en-US" w:eastAsia="ru-RU"/>
              </w:rPr>
              <w:t>, DeviceNet, CAN Open, MEGMEET CAN, EtherNet/IP (1)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Аналоговый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val="en-US" w:eastAsia="ru-RU"/>
              </w:rPr>
              <w:t>, DeviceNet, CAN Open, MEGMEET CAN, EtherNet/IP (1)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val="en-US"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Аналоговый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val="en-US" w:eastAsia="ru-RU"/>
              </w:rPr>
              <w:t>, DeviceNet, CAN Open, MEGMEET CAN, EtherNet/IP (1)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Цифровой измеритель на устройство подачи проволоки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Да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>Режим охлаждения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Воздушное охлаждение, Водяное охлаждение (опционально)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Воздушное охлаждение, Водяное охлаждение (опционально)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Воздушное охлаждение, Водяное охлаждение (опционально)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Электромагнитная совместимость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IEC60974: 10 EMS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IEC60974: 10 EMS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IEC60974: 10 EMS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Класс изоляции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H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Класс защиты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IP 23S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IP 23S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IP 23S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Диапазон температур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-39 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~ + 50 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, Влажность ≤ 95%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-39 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~ + 50 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, Влажность ≤ 95%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-39 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~ + 50 </w:t>
            </w:r>
            <w:r w:rsidRPr="00333B70">
              <w:rPr>
                <w:rFonts w:ascii="Cambria Math" w:eastAsia="Times New Roman" w:hAnsi="Cambria Math" w:cs="Cambria Math"/>
                <w:color w:val="4D4C4C"/>
                <w:sz w:val="24"/>
                <w:szCs w:val="24"/>
                <w:lang w:eastAsia="ru-RU"/>
              </w:rPr>
              <w:t>℃</w:t>
            </w: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, Влажность ≤ 95%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Размер (Д / Ш / В)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620 х 300 × 480 мм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620 х 300 × 480 мм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620 х 300 × 480 мм</w:t>
            </w:r>
          </w:p>
        </w:tc>
      </w:tr>
      <w:tr w:rsidR="00333B70" w:rsidRPr="00333B70" w:rsidTr="00333B70"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25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52 кг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52 кг</w:t>
            </w:r>
          </w:p>
        </w:tc>
        <w:tc>
          <w:tcPr>
            <w:tcW w:w="12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52 кг</w:t>
            </w:r>
          </w:p>
        </w:tc>
      </w:tr>
      <w:tr w:rsidR="00333B70" w:rsidRPr="00333B70" w:rsidTr="00333B70">
        <w:trPr>
          <w:tblHeader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Блок охлаждения (опционально)</w:t>
            </w:r>
          </w:p>
        </w:tc>
        <w:tc>
          <w:tcPr>
            <w:tcW w:w="2500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B70" w:rsidRPr="00333B70" w:rsidTr="00333B70">
        <w:tc>
          <w:tcPr>
            <w:tcW w:w="2500" w:type="pct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2500" w:type="pct"/>
            <w:gridSpan w:val="3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 Вт</w:t>
            </w:r>
          </w:p>
        </w:tc>
      </w:tr>
      <w:tr w:rsidR="00333B70" w:rsidRPr="00333B70" w:rsidTr="00333B70">
        <w:tc>
          <w:tcPr>
            <w:tcW w:w="250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2500" w:type="pct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AC 400 В</w:t>
            </w:r>
          </w:p>
        </w:tc>
      </w:tr>
      <w:tr w:rsidR="00333B70" w:rsidRPr="00333B70" w:rsidTr="00333B70">
        <w:tc>
          <w:tcPr>
            <w:tcW w:w="250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>Ёмкость</w:t>
            </w:r>
          </w:p>
        </w:tc>
        <w:tc>
          <w:tcPr>
            <w:tcW w:w="2500" w:type="pct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10 л</w:t>
            </w:r>
          </w:p>
        </w:tc>
      </w:tr>
      <w:tr w:rsidR="00333B70" w:rsidRPr="00333B70" w:rsidTr="00333B70">
        <w:tc>
          <w:tcPr>
            <w:tcW w:w="250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2500" w:type="pct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3,5 л/мин</w:t>
            </w:r>
          </w:p>
        </w:tc>
      </w:tr>
      <w:tr w:rsidR="00333B70" w:rsidRPr="00333B70" w:rsidTr="00333B70">
        <w:tc>
          <w:tcPr>
            <w:tcW w:w="250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Max</w:t>
            </w:r>
            <w:proofErr w:type="spellEnd"/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. расстояние подачи жидкости</w:t>
            </w:r>
          </w:p>
        </w:tc>
        <w:tc>
          <w:tcPr>
            <w:tcW w:w="2500" w:type="pct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30 м</w:t>
            </w:r>
          </w:p>
        </w:tc>
      </w:tr>
      <w:tr w:rsidR="00333B70" w:rsidRPr="00333B70" w:rsidTr="00333B70">
        <w:tc>
          <w:tcPr>
            <w:tcW w:w="250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Сигнализация потока</w:t>
            </w:r>
          </w:p>
        </w:tc>
        <w:tc>
          <w:tcPr>
            <w:tcW w:w="2500" w:type="pct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Да</w:t>
            </w:r>
          </w:p>
        </w:tc>
      </w:tr>
      <w:tr w:rsidR="00333B70" w:rsidRPr="00333B70" w:rsidTr="00333B70">
        <w:tc>
          <w:tcPr>
            <w:tcW w:w="2500" w:type="pct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333B70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(1) </w:t>
            </w:r>
            <w:proofErr w:type="spellStart"/>
            <w:r w:rsidRPr="00333B70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EtherNet</w:t>
            </w:r>
            <w:proofErr w:type="spellEnd"/>
            <w:r w:rsidRPr="00333B70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/ IP не является обязательным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33B70" w:rsidRPr="00333B70" w:rsidRDefault="00333B70" w:rsidP="0033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57CB" w:rsidRDefault="005257CB">
      <w:bookmarkStart w:id="0" w:name="_GoBack"/>
      <w:bookmarkEnd w:id="0"/>
    </w:p>
    <w:sectPr w:rsidR="005257CB" w:rsidSect="00960216">
      <w:pgSz w:w="11906" w:h="16838"/>
      <w:pgMar w:top="-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0"/>
    <w:rsid w:val="00333B70"/>
    <w:rsid w:val="005257CB"/>
    <w:rsid w:val="009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E1A3-9499-46F5-B4C8-0F8EA53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14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8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Алексей Л ООО "Техновелд"</dc:creator>
  <cp:keywords/>
  <dc:description/>
  <cp:lastModifiedBy>Леонов Алексей Л ООО "Техновелд"</cp:lastModifiedBy>
  <cp:revision>2</cp:revision>
  <dcterms:created xsi:type="dcterms:W3CDTF">2023-03-14T10:48:00Z</dcterms:created>
  <dcterms:modified xsi:type="dcterms:W3CDTF">2023-03-14T10:49:00Z</dcterms:modified>
</cp:coreProperties>
</file>